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2"/>
        <w:gridCol w:w="905"/>
        <w:gridCol w:w="3827"/>
      </w:tblGrid>
      <w:tr w:rsidR="006A24A5" w:rsidRPr="00EC4026" w:rsidTr="000519A3">
        <w:trPr>
          <w:cantSplit/>
          <w:trHeight w:val="1843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>
            <w:pPr>
              <w:rPr>
                <w:b/>
              </w:rPr>
            </w:pPr>
            <w:r w:rsidRPr="00EC4026">
              <w:rPr>
                <w:b/>
                <w:noProof/>
                <w:lang w:val="en-GB" w:eastAsia="en-GB"/>
              </w:rPr>
              <w:drawing>
                <wp:inline distT="0" distB="0" distL="0" distR="0" wp14:anchorId="6CCB77F3" wp14:editId="54C59CB6">
                  <wp:extent cx="1628775" cy="838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A5" w:rsidRPr="00EC4026" w:rsidRDefault="006A24A5" w:rsidP="000519A3">
            <w:pPr>
              <w:rPr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803498">
            <w:pPr>
              <w:rPr>
                <w:b/>
              </w:rPr>
            </w:pPr>
            <w:r>
              <w:rPr>
                <w:b/>
              </w:rPr>
              <w:t>Doc. ECC/CPG15(13</w:t>
            </w:r>
            <w:r w:rsidRPr="00EC4026">
              <w:rPr>
                <w:b/>
              </w:rPr>
              <w:t>)</w:t>
            </w:r>
            <w:r w:rsidR="00AC299A">
              <w:rPr>
                <w:b/>
              </w:rPr>
              <w:t>004</w:t>
            </w:r>
            <w:bookmarkStart w:id="0" w:name="_GoBack"/>
            <w:bookmarkEnd w:id="0"/>
            <w:r>
              <w:rPr>
                <w:b/>
              </w:rPr>
              <w:t xml:space="preserve"> Annex </w:t>
            </w:r>
            <w:r w:rsidR="00803498" w:rsidRPr="00803498">
              <w:rPr>
                <w:b/>
              </w:rPr>
              <w:t>1</w:t>
            </w:r>
          </w:p>
        </w:tc>
      </w:tr>
      <w:tr w:rsidR="006A24A5" w:rsidRPr="00EC4026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>
            <w:pPr>
              <w:rPr>
                <w:b/>
              </w:rPr>
            </w:pPr>
            <w:r>
              <w:rPr>
                <w:b/>
              </w:rPr>
              <w:t>CPG15 – 2</w:t>
            </w:r>
          </w:p>
          <w:p w:rsidR="006A24A5" w:rsidRPr="007639C3" w:rsidRDefault="006A24A5" w:rsidP="000519A3">
            <w:pPr>
              <w:rPr>
                <w:b/>
              </w:rPr>
            </w:pPr>
            <w:r>
              <w:rPr>
                <w:b/>
              </w:rPr>
              <w:t>Luxembourg, 22</w:t>
            </w:r>
            <w:r w:rsidRPr="00EC4026">
              <w:rPr>
                <w:b/>
              </w:rPr>
              <w:t xml:space="preserve"> </w:t>
            </w:r>
            <w:r>
              <w:rPr>
                <w:b/>
              </w:rPr>
              <w:t>– 25 January 2013</w:t>
            </w:r>
          </w:p>
        </w:tc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/>
        </w:tc>
      </w:tr>
      <w:tr w:rsidR="006A24A5" w:rsidRPr="00EC4026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4A5" w:rsidRPr="00EC4026" w:rsidRDefault="006A24A5" w:rsidP="000519A3">
            <w:r w:rsidRPr="00EC4026">
              <w:rPr>
                <w:b/>
              </w:rPr>
              <w:t>Date issued:</w:t>
            </w:r>
            <w:r w:rsidRPr="00EC4026">
              <w:t xml:space="preserve">   </w:t>
            </w:r>
            <w:r>
              <w:t>15 January 2012</w:t>
            </w:r>
            <w:r w:rsidRPr="00EC4026">
              <w:tab/>
            </w:r>
          </w:p>
          <w:p w:rsidR="006A24A5" w:rsidRPr="00EC4026" w:rsidRDefault="006A24A5" w:rsidP="000519A3">
            <w:r w:rsidRPr="00EC4026">
              <w:rPr>
                <w:b/>
              </w:rPr>
              <w:t>Source:</w:t>
            </w:r>
            <w:r w:rsidRPr="00EC4026">
              <w:tab/>
            </w:r>
            <w:r>
              <w:t>CPG PTB</w:t>
            </w:r>
          </w:p>
          <w:p w:rsidR="006A24A5" w:rsidRPr="00803498" w:rsidRDefault="006A24A5" w:rsidP="000519A3">
            <w:r w:rsidRPr="00EC4026">
              <w:rPr>
                <w:b/>
              </w:rPr>
              <w:t>Subject:</w:t>
            </w:r>
            <w:r w:rsidRPr="00EC4026">
              <w:t xml:space="preserve"> </w:t>
            </w:r>
            <w:r>
              <w:t xml:space="preserve">Draft CEPT brief on WRC-15 agenda item </w:t>
            </w:r>
            <w:r w:rsidR="00803498" w:rsidRPr="00803498">
              <w:t>1.6</w:t>
            </w:r>
          </w:p>
          <w:p w:rsidR="006A24A5" w:rsidRPr="00B44F73" w:rsidRDefault="006A24A5" w:rsidP="000519A3">
            <w:pPr>
              <w:rPr>
                <w:b/>
              </w:rPr>
            </w:pP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Summary: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B44F73" w:rsidRDefault="006A24A5" w:rsidP="000519A3"/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Proposal: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803498" w:rsidRDefault="006A24A5" w:rsidP="006A24A5">
            <w:r w:rsidRPr="006A24A5">
              <w:t xml:space="preserve">CPG is invited to consider and approve the attached draft Brief on WRC-15 Agenda item </w:t>
            </w:r>
            <w:r w:rsidR="00803498" w:rsidRPr="00803498">
              <w:t>1</w:t>
            </w:r>
            <w:r w:rsidRPr="006A24A5">
              <w:t>.</w:t>
            </w:r>
            <w:r w:rsidR="00803498" w:rsidRPr="00803498">
              <w:t>6</w:t>
            </w:r>
          </w:p>
          <w:p w:rsidR="006A24A5" w:rsidRDefault="006A24A5" w:rsidP="000519A3"/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>Background:</w:t>
            </w:r>
            <w:r w:rsidRPr="00B44F73">
              <w:rPr>
                <w:b/>
              </w:rPr>
              <w:tab/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FD5486" w:rsidRDefault="006A24A5" w:rsidP="000519A3">
            <w:pPr>
              <w:rPr>
                <w:szCs w:val="20"/>
              </w:rPr>
            </w:pPr>
          </w:p>
        </w:tc>
      </w:tr>
    </w:tbl>
    <w:p w:rsidR="00E35508" w:rsidRPr="006A24A5" w:rsidRDefault="00E35508" w:rsidP="00E35508">
      <w:pPr>
        <w:jc w:val="center"/>
        <w:rPr>
          <w:rFonts w:ascii="Times New Roman" w:hAnsi="Times New Roman"/>
          <w:b/>
          <w:sz w:val="24"/>
          <w:lang w:eastAsia="nl-NL" w:bidi="en-US"/>
        </w:rPr>
      </w:pPr>
    </w:p>
    <w:p w:rsidR="00DC58F0" w:rsidRPr="006A24A5" w:rsidRDefault="00DC58F0" w:rsidP="00DC58F0">
      <w:pPr>
        <w:rPr>
          <w:b/>
          <w:color w:val="FFFFFF"/>
          <w:szCs w:val="20"/>
          <w:lang w:val="en-GB"/>
        </w:rPr>
        <w:sectPr w:rsidR="00DC58F0" w:rsidRPr="006A24A5" w:rsidSect="008A54FC">
          <w:headerReference w:type="even" r:id="rId10"/>
          <w:pgSz w:w="11907" w:h="16840" w:code="9"/>
          <w:pgMar w:top="1440" w:right="1134" w:bottom="1440" w:left="1134" w:header="709" w:footer="709" w:gutter="0"/>
          <w:cols w:space="708"/>
          <w:docGrid w:linePitch="360"/>
        </w:sectPr>
      </w:pPr>
    </w:p>
    <w:p w:rsidR="008018E9" w:rsidRDefault="008018E9" w:rsidP="008018E9">
      <w:pPr>
        <w:rPr>
          <w:b/>
          <w:color w:val="FFFFFF"/>
          <w:szCs w:val="20"/>
        </w:rPr>
      </w:pPr>
    </w:p>
    <w:p w:rsidR="00803498" w:rsidRPr="00005CA4" w:rsidRDefault="00803498" w:rsidP="00803498">
      <w:pPr>
        <w:rPr>
          <w:b/>
          <w:color w:val="C00000"/>
        </w:rPr>
      </w:pPr>
      <w:r w:rsidRPr="00005CA4">
        <w:rPr>
          <w:b/>
          <w:color w:val="C00000"/>
        </w:rPr>
        <w:t xml:space="preserve">DRAFT CEPT BRIEF ON AGENDA ITEM </w:t>
      </w:r>
      <w:r>
        <w:rPr>
          <w:b/>
          <w:color w:val="C00000"/>
        </w:rPr>
        <w:t>1.6</w:t>
      </w:r>
      <w:r w:rsidRPr="00005CA4">
        <w:rPr>
          <w:b/>
          <w:color w:val="C00000"/>
        </w:rPr>
        <w:t xml:space="preserve"> 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SimSun" w:cs="Arial"/>
          <w:i/>
          <w:szCs w:val="20"/>
          <w:lang w:val="en-GB" w:eastAsia="zh-CN"/>
        </w:rPr>
      </w:pPr>
      <w:r w:rsidRPr="004267B5">
        <w:rPr>
          <w:rFonts w:eastAsia="SimSun" w:cs="Arial"/>
          <w:i/>
          <w:szCs w:val="20"/>
          <w:lang w:val="en-GB" w:eastAsia="zh-CN"/>
        </w:rPr>
        <w:t>1.6</w:t>
      </w:r>
      <w:r w:rsidRPr="004267B5">
        <w:rPr>
          <w:rFonts w:eastAsia="SimSun" w:cs="Arial"/>
          <w:i/>
          <w:szCs w:val="20"/>
          <w:lang w:val="en-GB" w:eastAsia="zh-CN"/>
        </w:rPr>
        <w:tab/>
        <w:t>to consider possible additional primary allocations: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SimSun" w:cs="Arial"/>
          <w:i/>
          <w:szCs w:val="20"/>
          <w:lang w:val="en-GB" w:eastAsia="zh-CN"/>
        </w:rPr>
      </w:pPr>
      <w:r w:rsidRPr="004267B5">
        <w:rPr>
          <w:rFonts w:eastAsia="SimSun" w:cs="Arial"/>
          <w:i/>
          <w:szCs w:val="20"/>
          <w:lang w:val="en-GB" w:eastAsia="zh-CN"/>
        </w:rPr>
        <w:t>1.6.1</w:t>
      </w:r>
      <w:r w:rsidRPr="004267B5">
        <w:rPr>
          <w:rFonts w:eastAsia="SimSun" w:cs="Arial"/>
          <w:i/>
          <w:szCs w:val="20"/>
          <w:lang w:val="en-GB" w:eastAsia="zh-CN"/>
        </w:rPr>
        <w:tab/>
        <w:t>to the fixed-satellite service (Earth-to-space and space-to-Earth) of 250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MHz</w:t>
      </w:r>
      <w:r w:rsidRPr="0065589C">
        <w:rPr>
          <w:rFonts w:eastAsia="SimSun" w:cs="Arial"/>
          <w:i/>
          <w:szCs w:val="20"/>
          <w:lang w:val="en-GB" w:eastAsia="zh-CN"/>
        </w:rPr>
        <w:t xml:space="preserve"> in the range between 10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65589C">
        <w:rPr>
          <w:rFonts w:eastAsia="SimSun" w:cs="Arial"/>
          <w:i/>
          <w:szCs w:val="20"/>
          <w:lang w:val="en-GB" w:eastAsia="zh-CN"/>
        </w:rPr>
        <w:t>GHz and 17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65589C">
        <w:rPr>
          <w:rFonts w:eastAsia="SimSun" w:cs="Arial"/>
          <w:i/>
          <w:szCs w:val="20"/>
          <w:lang w:val="en-GB" w:eastAsia="zh-CN"/>
        </w:rPr>
        <w:t>GHz in Region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1;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SimSun" w:cs="Arial"/>
          <w:i/>
          <w:szCs w:val="20"/>
          <w:lang w:val="en-GB" w:eastAsia="zh-CN"/>
        </w:rPr>
      </w:pPr>
      <w:r w:rsidRPr="004267B5">
        <w:rPr>
          <w:rFonts w:eastAsia="SimSun" w:cs="Arial"/>
          <w:i/>
          <w:szCs w:val="20"/>
          <w:lang w:val="en-GB" w:eastAsia="zh-CN"/>
        </w:rPr>
        <w:t>1.6.2</w:t>
      </w:r>
      <w:r w:rsidRPr="004267B5">
        <w:rPr>
          <w:rFonts w:eastAsia="SimSun" w:cs="Arial"/>
          <w:i/>
          <w:szCs w:val="20"/>
          <w:lang w:val="en-GB" w:eastAsia="zh-CN"/>
        </w:rPr>
        <w:tab/>
        <w:t>to the fixed-satellite service (Earth-to-space) of 250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MHz</w:t>
      </w:r>
      <w:r w:rsidRPr="0065589C">
        <w:rPr>
          <w:rFonts w:eastAsia="SimSun" w:cs="Arial"/>
          <w:i/>
          <w:szCs w:val="20"/>
          <w:lang w:val="en-GB" w:eastAsia="zh-CN"/>
        </w:rPr>
        <w:t xml:space="preserve"> in Region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2 and 300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 xml:space="preserve">MHz in </w:t>
      </w:r>
      <w:r w:rsidRPr="0065589C">
        <w:rPr>
          <w:rFonts w:eastAsia="SimSun" w:cs="Arial"/>
          <w:i/>
          <w:szCs w:val="20"/>
          <w:lang w:val="en-GB" w:eastAsia="zh-CN"/>
        </w:rPr>
        <w:t>Region 3 within the range 13-17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GHz;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cs="Arial"/>
          <w:bCs/>
          <w:i/>
          <w:szCs w:val="20"/>
          <w:lang w:val="en-GB"/>
        </w:rPr>
      </w:pPr>
      <w:r w:rsidRPr="004267B5">
        <w:rPr>
          <w:rFonts w:eastAsia="SimSun" w:cs="Arial"/>
          <w:i/>
          <w:szCs w:val="20"/>
          <w:lang w:val="en-GB" w:eastAsia="zh-CN"/>
        </w:rPr>
        <w:t>and review the regulatory provisions on the current allocations to the fixed-satellite service within each range, taking into account the results of ITU</w:t>
      </w:r>
      <w:r w:rsidRPr="004267B5">
        <w:rPr>
          <w:rFonts w:eastAsia="SimSun" w:cs="Arial"/>
          <w:i/>
          <w:szCs w:val="20"/>
          <w:lang w:val="en-GB" w:eastAsia="zh-CN"/>
        </w:rPr>
        <w:noBreakHyphen/>
        <w:t xml:space="preserve">R studies, in accordance with Resolutions </w:t>
      </w:r>
      <w:r>
        <w:rPr>
          <w:rFonts w:eastAsia="SimSun" w:cs="Arial"/>
          <w:b/>
          <w:bCs/>
          <w:i/>
          <w:szCs w:val="20"/>
          <w:lang w:val="en-GB" w:eastAsia="zh-CN"/>
        </w:rPr>
        <w:t xml:space="preserve">151 </w:t>
      </w:r>
      <w:r w:rsidRPr="00433E50">
        <w:rPr>
          <w:rFonts w:eastAsia="SimSun" w:cs="Arial"/>
          <w:b/>
          <w:bCs/>
          <w:i/>
          <w:szCs w:val="20"/>
          <w:lang w:eastAsia="zh-CN"/>
        </w:rPr>
        <w:t>[COM6/4]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t xml:space="preserve"> (WRC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noBreakHyphen/>
        <w:t>12)</w:t>
      </w:r>
      <w:r w:rsidRPr="004267B5">
        <w:rPr>
          <w:rFonts w:eastAsia="SimSun" w:cs="Arial"/>
          <w:i/>
          <w:szCs w:val="20"/>
          <w:lang w:val="en-GB" w:eastAsia="zh-CN"/>
        </w:rPr>
        <w:t xml:space="preserve"> and </w:t>
      </w:r>
      <w:r>
        <w:rPr>
          <w:rFonts w:eastAsia="SimSun" w:cs="Arial"/>
          <w:b/>
          <w:bCs/>
          <w:i/>
          <w:szCs w:val="20"/>
          <w:lang w:val="en-GB" w:eastAsia="zh-CN"/>
        </w:rPr>
        <w:t>152</w:t>
      </w:r>
      <w:r w:rsidRPr="002469AE">
        <w:rPr>
          <w:rFonts w:eastAsia="SimSun" w:cs="Arial"/>
          <w:b/>
          <w:bCs/>
          <w:i/>
          <w:szCs w:val="20"/>
          <w:lang w:eastAsia="zh-CN"/>
        </w:rPr>
        <w:t xml:space="preserve"> </w:t>
      </w:r>
      <w:r w:rsidRPr="00433E50">
        <w:rPr>
          <w:rFonts w:eastAsia="SimSun" w:cs="Arial"/>
          <w:b/>
          <w:bCs/>
          <w:i/>
          <w:lang w:eastAsia="zh-CN"/>
        </w:rPr>
        <w:t xml:space="preserve">[COM6/5] 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t>(WRC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noBreakHyphen/>
        <w:t>12)</w:t>
      </w:r>
      <w:r w:rsidRPr="004267B5">
        <w:rPr>
          <w:rFonts w:eastAsia="SimSun" w:cs="Arial"/>
          <w:i/>
          <w:szCs w:val="20"/>
          <w:lang w:val="en-GB" w:eastAsia="zh-CN"/>
        </w:rPr>
        <w:t>, respectively</w:t>
      </w:r>
      <w:r>
        <w:rPr>
          <w:rFonts w:cs="Arial"/>
          <w:bCs/>
          <w:i/>
          <w:szCs w:val="20"/>
          <w:lang w:val="en-GB"/>
        </w:rPr>
        <w:t>;</w:t>
      </w:r>
    </w:p>
    <w:p w:rsidR="00803498" w:rsidRDefault="00803498" w:rsidP="00803498">
      <w:pPr>
        <w:overflowPunct w:val="0"/>
        <w:autoSpaceDE w:val="0"/>
        <w:autoSpaceDN w:val="0"/>
        <w:adjustRightInd w:val="0"/>
        <w:spacing w:before="120" w:after="40"/>
        <w:jc w:val="both"/>
        <w:textAlignment w:val="baseline"/>
        <w:rPr>
          <w:rFonts w:cs="Arial"/>
          <w:b/>
          <w:bCs/>
          <w:szCs w:val="20"/>
          <w:lang w:val="en-GB"/>
        </w:rPr>
      </w:pPr>
      <w:r w:rsidRPr="0060376C">
        <w:rPr>
          <w:rFonts w:cs="Arial"/>
          <w:szCs w:val="20"/>
          <w:lang w:val="en-GB"/>
        </w:rPr>
        <w:t xml:space="preserve">Resolution </w:t>
      </w:r>
      <w:r w:rsidRPr="0060376C">
        <w:rPr>
          <w:rFonts w:eastAsia="SimSun" w:cs="Arial"/>
          <w:b/>
          <w:bCs/>
          <w:szCs w:val="20"/>
          <w:lang w:val="en-GB"/>
        </w:rPr>
        <w:t>151 [</w:t>
      </w:r>
      <w:r w:rsidRPr="0060376C">
        <w:rPr>
          <w:rFonts w:cs="Arial"/>
          <w:b/>
          <w:bCs/>
          <w:szCs w:val="20"/>
          <w:lang w:val="en-GB"/>
        </w:rPr>
        <w:t>COM6/4] (WRC</w:t>
      </w:r>
      <w:r w:rsidRPr="0060376C">
        <w:rPr>
          <w:rFonts w:cs="Arial"/>
          <w:b/>
          <w:bCs/>
          <w:szCs w:val="20"/>
          <w:lang w:val="en-GB"/>
        </w:rPr>
        <w:noBreakHyphen/>
        <w:t xml:space="preserve">12) </w:t>
      </w:r>
    </w:p>
    <w:p w:rsidR="00803498" w:rsidRPr="0060376C" w:rsidRDefault="00803498" w:rsidP="00803498">
      <w:pPr>
        <w:overflowPunct w:val="0"/>
        <w:autoSpaceDE w:val="0"/>
        <w:autoSpaceDN w:val="0"/>
        <w:adjustRightInd w:val="0"/>
        <w:spacing w:before="40" w:after="40"/>
        <w:jc w:val="both"/>
        <w:textAlignment w:val="baseline"/>
        <w:rPr>
          <w:rFonts w:cs="Arial"/>
          <w:szCs w:val="20"/>
        </w:rPr>
      </w:pPr>
      <w:r w:rsidRPr="0060376C">
        <w:rPr>
          <w:rFonts w:cs="Arial"/>
          <w:szCs w:val="20"/>
        </w:rPr>
        <w:t>Additional primary allocations to the fixed-satellite service in fr</w:t>
      </w:r>
      <w:r>
        <w:rPr>
          <w:rFonts w:cs="Arial"/>
          <w:szCs w:val="20"/>
        </w:rPr>
        <w:t xml:space="preserve">equency bands between 10 GHz and 17 GHz in Region </w:t>
      </w:r>
      <w:r w:rsidRPr="0060376C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 (WRC-15 AI 1.6.1)</w:t>
      </w:r>
    </w:p>
    <w:p w:rsidR="00803498" w:rsidRDefault="00803498" w:rsidP="00803498">
      <w:pPr>
        <w:overflowPunct w:val="0"/>
        <w:autoSpaceDE w:val="0"/>
        <w:autoSpaceDN w:val="0"/>
        <w:adjustRightInd w:val="0"/>
        <w:spacing w:before="120" w:after="40"/>
        <w:jc w:val="both"/>
        <w:textAlignment w:val="baseline"/>
        <w:rPr>
          <w:rFonts w:cs="Arial"/>
          <w:b/>
          <w:bCs/>
          <w:szCs w:val="20"/>
          <w:lang w:val="en-GB"/>
        </w:rPr>
      </w:pPr>
      <w:r w:rsidRPr="0060376C">
        <w:rPr>
          <w:rFonts w:cs="Arial"/>
          <w:szCs w:val="20"/>
          <w:lang w:val="en-GB"/>
        </w:rPr>
        <w:t xml:space="preserve">Resolution </w:t>
      </w:r>
      <w:r w:rsidRPr="0060376C">
        <w:rPr>
          <w:rFonts w:eastAsia="SimSun" w:cs="Arial"/>
          <w:b/>
          <w:bCs/>
          <w:szCs w:val="20"/>
          <w:lang w:val="en-GB"/>
        </w:rPr>
        <w:t>152 [</w:t>
      </w:r>
      <w:r w:rsidRPr="0060376C">
        <w:rPr>
          <w:rFonts w:cs="Arial"/>
          <w:b/>
          <w:bCs/>
          <w:szCs w:val="20"/>
          <w:lang w:val="en-GB"/>
        </w:rPr>
        <w:t>COM6/5] (WRC</w:t>
      </w:r>
      <w:r w:rsidRPr="0060376C">
        <w:rPr>
          <w:rFonts w:cs="Arial"/>
          <w:b/>
          <w:bCs/>
          <w:szCs w:val="20"/>
          <w:lang w:val="en-GB"/>
        </w:rPr>
        <w:noBreakHyphen/>
        <w:t>12)</w:t>
      </w:r>
    </w:p>
    <w:p w:rsidR="00803498" w:rsidRPr="00377655" w:rsidRDefault="00803498" w:rsidP="00803498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lang w:val="en-GB"/>
        </w:rPr>
      </w:pPr>
      <w:r w:rsidRPr="0060376C">
        <w:rPr>
          <w:rFonts w:cs="Arial"/>
          <w:szCs w:val="20"/>
        </w:rPr>
        <w:t>Additional primary allocations to the fixed-satellite service in the Earth</w:t>
      </w:r>
      <w:r w:rsidRPr="0060376C">
        <w:rPr>
          <w:rFonts w:cs="Arial"/>
          <w:szCs w:val="20"/>
        </w:rPr>
        <w:noBreakHyphen/>
        <w:t>to</w:t>
      </w:r>
      <w:r w:rsidRPr="0060376C">
        <w:rPr>
          <w:rFonts w:cs="Arial"/>
          <w:szCs w:val="20"/>
        </w:rPr>
        <w:noBreakHyphen/>
        <w:t>space direction i</w:t>
      </w:r>
      <w:r>
        <w:rPr>
          <w:rFonts w:cs="Arial"/>
          <w:szCs w:val="20"/>
        </w:rPr>
        <w:t xml:space="preserve">n frequency bands between 13 GHz and 17 GHz in Region 2 and Region </w:t>
      </w:r>
      <w:r w:rsidRPr="0060376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(WRC-15 AI 1.6.2).</w:t>
      </w:r>
    </w:p>
    <w:p w:rsidR="00803498" w:rsidRDefault="00803498" w:rsidP="00803498">
      <w:pPr>
        <w:pStyle w:val="Heading1"/>
        <w:ind w:left="357" w:hanging="357"/>
      </w:pPr>
      <w:r>
        <w:t>ISSUE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>
        <w:rPr>
          <w:rFonts w:cs="Arial"/>
          <w:szCs w:val="20"/>
          <w:lang w:val="en-US"/>
        </w:rPr>
        <w:t xml:space="preserve">Resolution </w:t>
      </w:r>
      <w:r w:rsidRPr="009A4B86">
        <w:rPr>
          <w:rFonts w:cs="Arial"/>
          <w:b/>
          <w:szCs w:val="20"/>
          <w:lang w:val="en-US"/>
        </w:rPr>
        <w:t>151 (WRC</w:t>
      </w:r>
      <w:r>
        <w:rPr>
          <w:rFonts w:cs="Arial"/>
          <w:b/>
          <w:szCs w:val="20"/>
          <w:lang w:val="en-US"/>
        </w:rPr>
        <w:t>-</w:t>
      </w:r>
      <w:r w:rsidRPr="009A4B86">
        <w:rPr>
          <w:rFonts w:cs="Arial"/>
          <w:b/>
          <w:szCs w:val="20"/>
          <w:lang w:val="en-US"/>
        </w:rPr>
        <w:t>12)</w:t>
      </w:r>
    </w:p>
    <w:p w:rsidR="00803498" w:rsidRPr="000A35AC" w:rsidRDefault="00803498" w:rsidP="00803498">
      <w:pPr>
        <w:pStyle w:val="ECCParagraph"/>
        <w:spacing w:after="120"/>
        <w:rPr>
          <w:rFonts w:cs="Arial"/>
          <w:i/>
          <w:szCs w:val="20"/>
          <w:lang w:val="en-US"/>
        </w:rPr>
      </w:pPr>
      <w:r>
        <w:rPr>
          <w:rFonts w:cs="Arial"/>
          <w:szCs w:val="20"/>
          <w:lang w:val="en-US"/>
        </w:rPr>
        <w:t>“</w:t>
      </w:r>
      <w:r w:rsidRPr="00067DBC">
        <w:rPr>
          <w:rFonts w:cs="Arial"/>
          <w:szCs w:val="20"/>
          <w:lang w:val="en-US"/>
        </w:rPr>
        <w:t>The WRC</w:t>
      </w:r>
      <w:r>
        <w:rPr>
          <w:rFonts w:cs="Arial"/>
          <w:szCs w:val="20"/>
          <w:lang w:val="en-US"/>
        </w:rPr>
        <w:t>-12</w:t>
      </w:r>
      <w:r w:rsidRPr="00067DBC">
        <w:rPr>
          <w:rFonts w:cs="Arial"/>
          <w:szCs w:val="20"/>
          <w:lang w:val="en-US"/>
        </w:rPr>
        <w:t>,</w:t>
      </w:r>
      <w:r>
        <w:rPr>
          <w:rFonts w:cs="Arial"/>
          <w:szCs w:val="20"/>
          <w:lang w:val="en-US"/>
        </w:rPr>
        <w:t xml:space="preserve"> </w:t>
      </w:r>
      <w:r w:rsidRPr="000A35AC">
        <w:rPr>
          <w:rFonts w:cs="Arial"/>
          <w:i/>
          <w:szCs w:val="20"/>
          <w:lang w:val="en-US"/>
        </w:rPr>
        <w:t>considering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67DBC">
        <w:rPr>
          <w:rFonts w:cs="Arial"/>
          <w:szCs w:val="20"/>
          <w:lang w:val="en-US"/>
        </w:rPr>
        <w:t>a)</w:t>
      </w:r>
      <w:r w:rsidRPr="00067DBC">
        <w:rPr>
          <w:rFonts w:cs="Arial"/>
          <w:szCs w:val="20"/>
          <w:lang w:val="en-US"/>
        </w:rPr>
        <w:tab/>
        <w:t>that the existing unplanned bands for the fixed-satellite service (FSS) in the 10-15 GHz range are extensively used for a large variety of applications, and these applications have triggered a rapid rise in the demand for this frequency range</w:t>
      </w:r>
      <w:r>
        <w:rPr>
          <w:rFonts w:cs="Arial"/>
          <w:szCs w:val="20"/>
          <w:lang w:val="en-US"/>
        </w:rPr>
        <w:t xml:space="preserve"> …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67DBC">
        <w:rPr>
          <w:rFonts w:cs="Arial"/>
          <w:szCs w:val="20"/>
          <w:lang w:val="en-US"/>
        </w:rPr>
        <w:t>g)</w:t>
      </w:r>
      <w:r w:rsidRPr="00067DBC">
        <w:rPr>
          <w:rFonts w:cs="Arial"/>
          <w:szCs w:val="20"/>
          <w:lang w:val="en-US"/>
        </w:rPr>
        <w:tab/>
        <w:t xml:space="preserve">that there is a need to resolve the shortage of spectrum in Region 1 and Regions 2 and 3 </w:t>
      </w:r>
      <w:r>
        <w:rPr>
          <w:rFonts w:cs="Arial"/>
          <w:szCs w:val="20"/>
          <w:lang w:val="en-US"/>
        </w:rPr>
        <w:t>…,</w:t>
      </w:r>
      <w:r w:rsidRPr="00067DBC">
        <w:rPr>
          <w:rFonts w:cs="Arial"/>
          <w:szCs w:val="20"/>
          <w:lang w:val="en-US"/>
        </w:rPr>
        <w:t xml:space="preserve"> such that the rapid growth of spectrum demand in </w:t>
      </w:r>
      <w:r w:rsidRPr="000A35AC">
        <w:rPr>
          <w:rFonts w:cs="Arial"/>
          <w:i/>
          <w:szCs w:val="20"/>
          <w:lang w:val="en-US"/>
        </w:rPr>
        <w:t>considering a)</w:t>
      </w:r>
      <w:r w:rsidRPr="00067DBC">
        <w:rPr>
          <w:rFonts w:cs="Arial"/>
          <w:szCs w:val="20"/>
          <w:lang w:val="en-US"/>
        </w:rPr>
        <w:t xml:space="preserve"> could be met and the limited spectrum resources could be used in an efficient and economical way in accordance with the principle of Article 44 of the ITU Constitution</w:t>
      </w:r>
      <w:r>
        <w:rPr>
          <w:rFonts w:cs="Arial"/>
          <w:szCs w:val="20"/>
          <w:lang w:val="en-US"/>
        </w:rPr>
        <w:t xml:space="preserve"> …,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A35AC">
        <w:rPr>
          <w:rFonts w:cs="Arial"/>
          <w:i/>
          <w:szCs w:val="20"/>
          <w:lang w:val="en-US"/>
        </w:rPr>
        <w:t>resolves</w:t>
      </w:r>
      <w:r>
        <w:rPr>
          <w:rFonts w:cs="Arial"/>
          <w:i/>
          <w:szCs w:val="20"/>
          <w:lang w:val="en-US"/>
        </w:rPr>
        <w:t xml:space="preserve"> </w:t>
      </w:r>
      <w:r w:rsidRPr="00067DBC">
        <w:rPr>
          <w:rFonts w:cs="Arial"/>
          <w:szCs w:val="20"/>
          <w:lang w:val="en-US"/>
        </w:rPr>
        <w:t>to complete, for WRC 15: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67DBC">
        <w:rPr>
          <w:rFonts w:cs="Arial"/>
          <w:szCs w:val="20"/>
          <w:lang w:val="en-US"/>
        </w:rPr>
        <w:t>i)</w:t>
      </w:r>
      <w:r w:rsidRPr="00067DBC">
        <w:rPr>
          <w:rFonts w:cs="Arial"/>
          <w:szCs w:val="20"/>
          <w:lang w:val="en-US"/>
        </w:rPr>
        <w:tab/>
        <w:t>studies of possible bands for a new primary allocation to the fixed-satellite service of 250 MHz in both directions in Region 1 within the bands 10-17 GHz, with particular focus on the frequency range that is contiguous (or near contiguous) to the existing fixed-satellite service allocations, taking into account sharing and compatibility studies, while protecting the existing primary services in the band(s);</w:t>
      </w:r>
      <w:r>
        <w:rPr>
          <w:rFonts w:cs="Arial"/>
          <w:szCs w:val="20"/>
          <w:lang w:val="en-US"/>
        </w:rPr>
        <w:t xml:space="preserve"> …”</w:t>
      </w:r>
    </w:p>
    <w:p w:rsidR="00803498" w:rsidRDefault="00803498" w:rsidP="00803498">
      <w:pPr>
        <w:pStyle w:val="Heading1"/>
        <w:ind w:left="357" w:hanging="357"/>
      </w:pPr>
      <w:r w:rsidRPr="00B35593">
        <w:t>Preliminary CEPT position</w:t>
      </w:r>
    </w:p>
    <w:p w:rsidR="00803498" w:rsidRDefault="00803498" w:rsidP="00803498">
      <w:pPr>
        <w:pStyle w:val="ECCParagraph"/>
      </w:pPr>
      <w:r>
        <w:rPr>
          <w:lang w:val="en-US"/>
        </w:rPr>
        <w:t xml:space="preserve">TBD </w:t>
      </w:r>
    </w:p>
    <w:p w:rsidR="00803498" w:rsidRDefault="00803498" w:rsidP="00803498">
      <w:pPr>
        <w:pStyle w:val="Heading1"/>
        <w:ind w:left="357" w:hanging="357"/>
      </w:pPr>
      <w:r w:rsidRPr="005F007F">
        <w:t>Background</w:t>
      </w:r>
    </w:p>
    <w:p w:rsidR="00803498" w:rsidRPr="004C69F6" w:rsidRDefault="00803498" w:rsidP="00803498">
      <w:pPr>
        <w:pStyle w:val="ECCParagraph"/>
        <w:spacing w:after="120"/>
        <w:rPr>
          <w:lang w:val="en-US"/>
        </w:rPr>
      </w:pPr>
      <w:r w:rsidRPr="004C69F6">
        <w:rPr>
          <w:lang w:val="en-US"/>
        </w:rPr>
        <w:t xml:space="preserve">Due to the rapid growth in demand for fixed-satellite services worldwide, WRC-12 has considered an issue on additional primary spectrum allocations to this service. WRC-12 adopted two new resolutions (Resolutions 151 (WRC-12) and 152 (WRC-12)) proposing to consider, as a matter of urgency, possible additional primary allocations to unplanned FSS to address the asymmetry in Earth-to-space and space-to-Earth FSS allocations in Regions 2 and 3, and also to consider </w:t>
      </w:r>
      <w:r>
        <w:rPr>
          <w:lang w:val="en-US"/>
        </w:rPr>
        <w:t xml:space="preserve">possible </w:t>
      </w:r>
      <w:r w:rsidRPr="004C69F6">
        <w:rPr>
          <w:lang w:val="en-US"/>
        </w:rPr>
        <w:t>additional primary allocations to the unplanned FSS (Earth-to-space and space-to-Earth) in Region 1.</w:t>
      </w:r>
    </w:p>
    <w:p w:rsidR="00803498" w:rsidRPr="004C69F6" w:rsidRDefault="00803498" w:rsidP="00803498">
      <w:pPr>
        <w:pStyle w:val="ECCParagraph"/>
        <w:spacing w:after="120"/>
        <w:rPr>
          <w:lang w:val="en-US"/>
        </w:rPr>
      </w:pPr>
      <w:r w:rsidRPr="004C69F6">
        <w:rPr>
          <w:lang w:val="en-US"/>
        </w:rPr>
        <w:t>It should be noted that a world-wide allocation to FSS has a significant advantage over a regional one. For example, unified FSS allocation in Regions 1 and 3 is important in terms of planning and designing of satellite networks, as well as achieving effective coverage area.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4C69F6">
        <w:rPr>
          <w:lang w:val="en-US"/>
        </w:rPr>
        <w:lastRenderedPageBreak/>
        <w:t>Also, in terms of improving spectral efficiency and convenience of communication system architecture, it is desirable that an additional spectrum for FSS be allocated in a continuous part of the spectrum that is contiguous to the existing fixed-satellite service allocations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250CCA">
        <w:rPr>
          <w:lang w:val="en-US"/>
        </w:rPr>
        <w:t xml:space="preserve">A number of studies should be conducted </w:t>
      </w:r>
      <w:r>
        <w:rPr>
          <w:lang w:val="en-US"/>
        </w:rPr>
        <w:t xml:space="preserve">for the purpose of possible </w:t>
      </w:r>
      <w:r w:rsidRPr="00250CCA">
        <w:rPr>
          <w:lang w:val="en-US"/>
        </w:rPr>
        <w:t>allocation of additional spectrum of 250 MHz to the fixed-satellite service (Earth-to-space and space-to-Earth) in frequency bands between 10 and</w:t>
      </w:r>
      <w:r>
        <w:rPr>
          <w:lang w:val="en-US"/>
        </w:rPr>
        <w:t xml:space="preserve"> 17 GHz in Region 1 and </w:t>
      </w:r>
      <w:r w:rsidRPr="004D7866">
        <w:rPr>
          <w:lang w:val="en-US"/>
        </w:rPr>
        <w:t>of 250 MHz to the fixed-satellite service (Earth-to-space) in Region 2 and</w:t>
      </w:r>
      <w:r>
        <w:rPr>
          <w:lang w:val="en-US"/>
        </w:rPr>
        <w:t xml:space="preserve"> of</w:t>
      </w:r>
      <w:r w:rsidRPr="004D7866">
        <w:rPr>
          <w:lang w:val="en-US"/>
        </w:rPr>
        <w:t xml:space="preserve"> 300 MHz in Region 3 within the range 13-17 GHz</w:t>
      </w:r>
      <w:r w:rsidRPr="00250CCA">
        <w:rPr>
          <w:lang w:val="en-US"/>
        </w:rPr>
        <w:t>.</w:t>
      </w:r>
    </w:p>
    <w:p w:rsidR="00803498" w:rsidRDefault="00803498" w:rsidP="00803498">
      <w:pPr>
        <w:pStyle w:val="ECCParagraph"/>
        <w:spacing w:after="120"/>
      </w:pPr>
      <w:r>
        <w:rPr>
          <w:lang w:val="en-US"/>
        </w:rPr>
        <w:t xml:space="preserve">The </w:t>
      </w:r>
      <w:r w:rsidRPr="004F056E">
        <w:rPr>
          <w:lang w:val="en-US"/>
        </w:rPr>
        <w:t>General working method</w:t>
      </w:r>
      <w:r>
        <w:rPr>
          <w:lang w:val="en-US"/>
        </w:rPr>
        <w:t>s</w:t>
      </w:r>
      <w:r w:rsidRPr="004F056E">
        <w:rPr>
          <w:lang w:val="en-US"/>
        </w:rPr>
        <w:t xml:space="preserve"> for </w:t>
      </w:r>
      <w:r>
        <w:rPr>
          <w:lang w:val="en-US"/>
        </w:rPr>
        <w:t>compatibility</w:t>
      </w:r>
      <w:r w:rsidRPr="004F056E">
        <w:rPr>
          <w:lang w:val="en-US"/>
        </w:rPr>
        <w:t xml:space="preserve"> studies</w:t>
      </w:r>
      <w:r>
        <w:rPr>
          <w:lang w:val="en-US"/>
        </w:rPr>
        <w:t xml:space="preserve"> are given</w:t>
      </w:r>
      <w:r w:rsidRPr="00CA1F2F">
        <w:rPr>
          <w:lang w:val="en-US"/>
        </w:rPr>
        <w:t xml:space="preserve"> </w:t>
      </w:r>
      <w:r>
        <w:rPr>
          <w:lang w:val="en-US"/>
        </w:rPr>
        <w:t>in section 5, and T</w:t>
      </w:r>
      <w:r w:rsidRPr="004F056E">
        <w:rPr>
          <w:lang w:val="en-US"/>
        </w:rPr>
        <w:t>ime</w:t>
      </w:r>
      <w:r>
        <w:rPr>
          <w:lang w:val="en-US"/>
        </w:rPr>
        <w:t>table of PT B is given</w:t>
      </w:r>
      <w:r w:rsidRPr="0014138A">
        <w:t xml:space="preserve"> </w:t>
      </w:r>
      <w:r>
        <w:t>in the Annex to the document.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Frequency bands 10.5-10.6 GHz, 10.6-10.7 GHz, 13.25-13.4 GHz, 15.35-15.4 GHz and 15.4-15.7 GHz were considered in the previous study period (See ITU-R Reports  М.2221, М.2170, M.2229). Following protection criteria were used in the sharing studies mentioned above: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10.5-10.6 GHz - interference pfd level for RLS systems is required to be -146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/m2 in 1 MHz;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10.6-10.7 GHz - interference pfd level for RAS systems is required to be -180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/m2 in 1 MHz;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13.25-13.4 GHz - interference pfd level for aircraft RLS systems is required to be -134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 xml:space="preserve">/m2 in 1 MHz (or -158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/m2 in 4 kHz);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in the frequency band 15.35 – 15.4 GHz  interference at the RAS receiver input in 50 MHz shall not exceed -202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 xml:space="preserve"> (or -219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/MHz).</w:t>
      </w:r>
    </w:p>
    <w:p w:rsidR="00803498" w:rsidRDefault="00803498" w:rsidP="00803498">
      <w:pPr>
        <w:pStyle w:val="Heading1"/>
        <w:ind w:left="357" w:hanging="357"/>
      </w:pPr>
      <w:r w:rsidRPr="005F007F">
        <w:t>List of relevant documents</w:t>
      </w:r>
    </w:p>
    <w:p w:rsidR="00803498" w:rsidRDefault="00803498" w:rsidP="00803498">
      <w:pPr>
        <w:pStyle w:val="ECCParagraph"/>
        <w:spacing w:after="120"/>
      </w:pPr>
      <w:r>
        <w:rPr>
          <w:rFonts w:cs="Arial"/>
          <w:szCs w:val="20"/>
          <w:lang w:val="fr-FR"/>
        </w:rPr>
        <w:t>Doc. 4A/61, Annex 09 - Working</w:t>
      </w:r>
      <w:r w:rsidRPr="009E3C25">
        <w:t xml:space="preserve"> document towards a preliminary draft new Report ITU-R S.[R</w:t>
      </w:r>
      <w:r>
        <w:t xml:space="preserve">2R3.FSS] - </w:t>
      </w:r>
      <w:r w:rsidRPr="0065589C">
        <w:rPr>
          <w:rFonts w:cs="Arial"/>
          <w:bCs/>
          <w:szCs w:val="20"/>
          <w:lang w:eastAsia="zh-CN"/>
        </w:rPr>
        <w:t>Assessment on use of spectrum in the 13-17 GHz band for the fixed-satellite service in Regions 2 and 3 (GSO)</w:t>
      </w:r>
      <w:r>
        <w:rPr>
          <w:rFonts w:cs="Arial"/>
          <w:bCs/>
          <w:szCs w:val="20"/>
          <w:lang w:eastAsia="zh-CN"/>
        </w:rPr>
        <w:t xml:space="preserve">, </w:t>
      </w:r>
      <w:r w:rsidRPr="0065589C">
        <w:rPr>
          <w:rFonts w:cs="Arial"/>
          <w:szCs w:val="20"/>
        </w:rPr>
        <w:t>begins to provide material needed to support WRC-15 Agenda item 1.6.2, to consider</w:t>
      </w:r>
      <w:r w:rsidRPr="009E3C25">
        <w:t xml:space="preserve"> possible </w:t>
      </w:r>
      <w:r>
        <w:t xml:space="preserve">additional </w:t>
      </w:r>
      <w:r w:rsidRPr="009E3C25">
        <w:t xml:space="preserve">primary allocations to the unplanned fixed-satellite service (FSS) Earth-to-space </w:t>
      </w:r>
      <w:r>
        <w:t>spectrum in the 13-17 GHz band in Region 2 and Region 3</w:t>
      </w:r>
      <w:r w:rsidRPr="009E3C25">
        <w:t>.</w:t>
      </w:r>
    </w:p>
    <w:p w:rsidR="00803498" w:rsidRPr="009E5574" w:rsidRDefault="00803498" w:rsidP="00803498">
      <w:pPr>
        <w:pStyle w:val="ECCParagraph"/>
        <w:rPr>
          <w:rFonts w:cs="Arial"/>
          <w:szCs w:val="20"/>
        </w:rPr>
      </w:pPr>
      <w:r>
        <w:rPr>
          <w:rFonts w:cs="Arial"/>
          <w:szCs w:val="20"/>
          <w:lang w:val="fr-FR"/>
        </w:rPr>
        <w:t xml:space="preserve">Doc. 4A/61, Annex 11 - </w:t>
      </w:r>
      <w:r w:rsidRPr="009E5574">
        <w:rPr>
          <w:rFonts w:cs="Arial"/>
          <w:szCs w:val="20"/>
          <w:lang w:val="fr-FR"/>
        </w:rPr>
        <w:t>W</w:t>
      </w:r>
      <w:r>
        <w:rPr>
          <w:rFonts w:cs="Arial"/>
          <w:szCs w:val="20"/>
          <w:lang w:val="fr-FR"/>
        </w:rPr>
        <w:t>orking</w:t>
      </w:r>
      <w:r w:rsidRPr="009E5574">
        <w:rPr>
          <w:rFonts w:cs="Arial"/>
          <w:szCs w:val="20"/>
        </w:rPr>
        <w:t xml:space="preserve"> document towards a preliminary draft new Report ITU-R S.[R1.FSS] </w:t>
      </w:r>
      <w:r>
        <w:rPr>
          <w:rFonts w:cs="Arial"/>
          <w:szCs w:val="20"/>
        </w:rPr>
        <w:t xml:space="preserve">- </w:t>
      </w:r>
      <w:r w:rsidRPr="0065589C">
        <w:rPr>
          <w:rFonts w:cs="Arial"/>
          <w:bCs/>
          <w:szCs w:val="20"/>
        </w:rPr>
        <w:t>Assessment on use of spectrum in the 10-17 GHz band for the fixed-satellite service in Region 1 (GSO)</w:t>
      </w:r>
      <w:r>
        <w:rPr>
          <w:rFonts w:cs="Arial"/>
          <w:bCs/>
          <w:szCs w:val="20"/>
        </w:rPr>
        <w:t>,</w:t>
      </w:r>
      <w:r w:rsidRPr="0065589C">
        <w:rPr>
          <w:rFonts w:ascii="Times New Roman" w:hAnsi="Times New Roman"/>
          <w:bCs/>
          <w:sz w:val="24"/>
          <w:szCs w:val="20"/>
        </w:rPr>
        <w:t xml:space="preserve"> </w:t>
      </w:r>
      <w:r w:rsidRPr="009E5574">
        <w:rPr>
          <w:rFonts w:cs="Arial"/>
          <w:szCs w:val="20"/>
        </w:rPr>
        <w:t>begins to provide material needed to support WRC-15 Agenda item 1.6.1, to consider possible additional primary allocations to the unplanned fixed-satellite service (FSS) Earth-to-space and space-to-Earth spectrum in the 10-17 GHz band in Region 1.</w:t>
      </w:r>
    </w:p>
    <w:p w:rsidR="00803498" w:rsidRDefault="00803498" w:rsidP="00803498">
      <w:pPr>
        <w:pStyle w:val="ECCParagraph"/>
        <w:rPr>
          <w:lang w:val="fr-FR"/>
        </w:rPr>
      </w:pPr>
      <w:r>
        <w:rPr>
          <w:rFonts w:cs="Arial"/>
          <w:szCs w:val="20"/>
          <w:lang w:val="fr-FR"/>
        </w:rPr>
        <w:t xml:space="preserve">Doc. 4A/61, Annex 19 - </w:t>
      </w:r>
      <w:r w:rsidRPr="0065589C">
        <w:rPr>
          <w:rFonts w:cs="Arial"/>
          <w:szCs w:val="20"/>
          <w:lang w:val="fr-FR"/>
        </w:rPr>
        <w:t>Working document - Work plan for WRC-15 Agenda item 1.6</w:t>
      </w:r>
      <w:r>
        <w:rPr>
          <w:rFonts w:cs="Arial"/>
          <w:szCs w:val="20"/>
          <w:lang w:val="fr-FR"/>
        </w:rPr>
        <w:t>.</w:t>
      </w:r>
      <w:r w:rsidRPr="00353A7B">
        <w:t xml:space="preserve"> </w:t>
      </w:r>
      <w:r>
        <w:t>T</w:t>
      </w:r>
      <w:r w:rsidRPr="003F0F26">
        <w:t>his Work Plan would need to be revised and updated, as appropriate, at every Working Party 4A meeting.</w:t>
      </w:r>
      <w:r>
        <w:rPr>
          <w:lang w:val="fr-FR"/>
        </w:rPr>
        <w:t xml:space="preserve">Doc PTB(2012)013 (France) – Proposed revision of the working document towards a preliminary draft new report ITU-R S.[R1.FSS], </w:t>
      </w:r>
    </w:p>
    <w:p w:rsidR="00803498" w:rsidRDefault="00803498" w:rsidP="00803498">
      <w:pPr>
        <w:pStyle w:val="ECCParagraph"/>
        <w:rPr>
          <w:lang w:val="fr-FR"/>
        </w:rPr>
      </w:pPr>
      <w:r w:rsidRPr="00585B3D">
        <w:rPr>
          <w:lang w:val="fr-FR"/>
        </w:rPr>
        <w:t>Doc</w:t>
      </w:r>
      <w:r>
        <w:rPr>
          <w:lang w:val="fr-FR"/>
        </w:rPr>
        <w:t xml:space="preserve"> PTB</w:t>
      </w:r>
      <w:r w:rsidRPr="00585B3D">
        <w:rPr>
          <w:lang w:val="fr-FR"/>
        </w:rPr>
        <w:t>(2012)01</w:t>
      </w:r>
      <w:r>
        <w:rPr>
          <w:lang w:val="fr-FR"/>
        </w:rPr>
        <w:t xml:space="preserve">4 (France) – Compatibility analysis between EESS (active) and FSS (Earth-to-space) within the frequency band 13.25-13.75 GHz. </w:t>
      </w:r>
    </w:p>
    <w:p w:rsidR="00803498" w:rsidRDefault="00803498" w:rsidP="00803498">
      <w:pPr>
        <w:pStyle w:val="Heading1"/>
        <w:ind w:left="357" w:hanging="357"/>
      </w:pPr>
      <w:r w:rsidRPr="005F007F">
        <w:t>Actions to be taken</w:t>
      </w:r>
    </w:p>
    <w:p w:rsidR="00803498" w:rsidRPr="002240C6" w:rsidRDefault="00803498" w:rsidP="00803498">
      <w:pPr>
        <w:pStyle w:val="ECCParagraph"/>
        <w:spacing w:after="120"/>
        <w:rPr>
          <w:lang w:val="en-US"/>
        </w:rPr>
      </w:pPr>
      <w:r>
        <w:rPr>
          <w:lang w:val="en-US"/>
        </w:rPr>
        <w:t xml:space="preserve">The following studies should be </w:t>
      </w:r>
      <w:r w:rsidRPr="00CE4B34">
        <w:rPr>
          <w:lang w:val="en-US"/>
        </w:rPr>
        <w:t>conducted</w:t>
      </w:r>
      <w:r>
        <w:rPr>
          <w:lang w:val="en-US"/>
        </w:rPr>
        <w:t xml:space="preserve"> for the purpose of possible</w:t>
      </w:r>
      <w:r w:rsidRPr="00CE4B34">
        <w:rPr>
          <w:lang w:val="en-US"/>
        </w:rPr>
        <w:t xml:space="preserve"> allocation of additional spectrum of 250 MHz to the fixed-satellite service (Earth-to-space and space-to-Earth) in frequency bands between 10 and 17 GHz in Region 1</w:t>
      </w:r>
      <w:r>
        <w:rPr>
          <w:lang w:val="en-US"/>
        </w:rPr>
        <w:t>,</w:t>
      </w:r>
      <w:r w:rsidRPr="00CE4B34">
        <w:rPr>
          <w:lang w:val="en-US"/>
        </w:rPr>
        <w:t xml:space="preserve"> and of 250 MHz to the fixed-satellite service (Earth-to-space) in Region 2</w:t>
      </w:r>
      <w:r>
        <w:rPr>
          <w:lang w:val="en-US"/>
        </w:rPr>
        <w:t>,</w:t>
      </w:r>
      <w:r w:rsidRPr="00CE4B34">
        <w:rPr>
          <w:lang w:val="en-US"/>
        </w:rPr>
        <w:t xml:space="preserve"> and </w:t>
      </w:r>
      <w:r>
        <w:rPr>
          <w:lang w:val="en-US"/>
        </w:rPr>
        <w:t xml:space="preserve">of </w:t>
      </w:r>
      <w:r w:rsidRPr="00CE4B34">
        <w:rPr>
          <w:lang w:val="en-US"/>
        </w:rPr>
        <w:t>300 MHz in Region 3 within the range 13-17 GHz.</w:t>
      </w:r>
    </w:p>
    <w:p w:rsidR="00803498" w:rsidRPr="00E62AE2" w:rsidRDefault="00803498" w:rsidP="00803498">
      <w:pPr>
        <w:pStyle w:val="ECCParagraph"/>
        <w:spacing w:after="120"/>
        <w:rPr>
          <w:lang w:val="en-US"/>
        </w:rPr>
      </w:pPr>
      <w:r w:rsidRPr="003D6F58">
        <w:t>General list of necessary studies</w:t>
      </w:r>
      <w:r w:rsidRPr="00E62AE2">
        <w:rPr>
          <w:lang w:val="en-US"/>
        </w:rPr>
        <w:t>:</w:t>
      </w:r>
    </w:p>
    <w:p w:rsidR="00803498" w:rsidRDefault="00803498" w:rsidP="00803498">
      <w:pPr>
        <w:pStyle w:val="ECCParagraph"/>
        <w:spacing w:after="120"/>
      </w:pPr>
      <w:r>
        <w:t>1)</w:t>
      </w:r>
      <w:r>
        <w:tab/>
        <w:t xml:space="preserve">contributions justifying the need for an additional FSS allocation in Region 1 within the range </w:t>
      </w:r>
      <w:r w:rsidRPr="00585B3D">
        <w:t>between 10 and 17 GHz</w:t>
      </w:r>
      <w:r>
        <w:t>.</w:t>
      </w:r>
    </w:p>
    <w:p w:rsidR="00803498" w:rsidRDefault="00803498" w:rsidP="00803498">
      <w:pPr>
        <w:pStyle w:val="ECCParagraph"/>
        <w:spacing w:after="120"/>
      </w:pPr>
      <w:r>
        <w:t xml:space="preserve">Detailed study of the current allocations. Current allocations and use of each band by existing services shall be </w:t>
      </w:r>
      <w:proofErr w:type="spellStart"/>
      <w:r>
        <w:t>analyzed</w:t>
      </w:r>
      <w:proofErr w:type="spellEnd"/>
      <w:r>
        <w:t xml:space="preserve"> in the frequency range under the study, Annex 2.</w:t>
      </w:r>
    </w:p>
    <w:p w:rsidR="00803498" w:rsidRDefault="00803498" w:rsidP="00803498">
      <w:pPr>
        <w:pStyle w:val="ECCParagraph"/>
        <w:spacing w:after="120"/>
      </w:pPr>
      <w:r>
        <w:lastRenderedPageBreak/>
        <w:t>2)</w:t>
      </w:r>
      <w:r>
        <w:tab/>
        <w:t xml:space="preserve">Results of the studies performed in previous study periods for the bands under the study shall be </w:t>
      </w:r>
      <w:proofErr w:type="spellStart"/>
      <w:r>
        <w:t>analyzed</w:t>
      </w:r>
      <w:proofErr w:type="spellEnd"/>
      <w:r>
        <w:t>. Use of the available study materials would prevent from unnecessary duplication of study efforts.</w:t>
      </w:r>
    </w:p>
    <w:p w:rsidR="00803498" w:rsidRDefault="00803498" w:rsidP="00803498">
      <w:pPr>
        <w:pStyle w:val="ECCParagraph"/>
        <w:spacing w:after="120"/>
      </w:pPr>
      <w:r>
        <w:t>3)</w:t>
      </w:r>
      <w:r>
        <w:tab/>
        <w:t>Technical characteristics of FSS systems which may operate in frequency bands 10-17 GHz and 13-17 GHz shall be identified.</w:t>
      </w:r>
    </w:p>
    <w:p w:rsidR="00803498" w:rsidRDefault="00803498" w:rsidP="00803498">
      <w:pPr>
        <w:pStyle w:val="ECCParagraph"/>
        <w:spacing w:after="120"/>
      </w:pPr>
      <w:r>
        <w:t>4)</w:t>
      </w:r>
      <w:r>
        <w:tab/>
        <w:t xml:space="preserve">The technical characteristics of network/station in the services already having allocations in frequency bands 10-17 GHz and 13-17 GHz shall be identified and </w:t>
      </w:r>
      <w:r w:rsidRPr="00F13370">
        <w:t xml:space="preserve">sharing and </w:t>
      </w:r>
      <w:r>
        <w:t>compatibility studies shall be conducted in order to ensure protection from interference to:</w:t>
      </w:r>
    </w:p>
    <w:p w:rsidR="00803498" w:rsidRDefault="00803498" w:rsidP="00803498">
      <w:pPr>
        <w:pStyle w:val="ECCParagraph"/>
        <w:spacing w:after="120"/>
      </w:pPr>
      <w:r>
        <w:t>a)</w:t>
      </w:r>
      <w:r>
        <w:tab/>
        <w:t>the existing services already having allocations in the above-mentioned frequency bands from the FSS;</w:t>
      </w:r>
    </w:p>
    <w:p w:rsidR="00803498" w:rsidRDefault="00803498" w:rsidP="00803498">
      <w:pPr>
        <w:pStyle w:val="ECCParagraph"/>
        <w:spacing w:after="120"/>
      </w:pPr>
      <w:r>
        <w:t>b)</w:t>
      </w:r>
      <w:r>
        <w:tab/>
        <w:t>the FSS from the existing services.</w:t>
      </w:r>
    </w:p>
    <w:p w:rsidR="00803498" w:rsidRDefault="00803498" w:rsidP="00803498">
      <w:pPr>
        <w:pStyle w:val="ECCParagraph"/>
        <w:spacing w:after="120"/>
      </w:pPr>
      <w:r>
        <w:t>5)</w:t>
      </w:r>
      <w:r>
        <w:tab/>
        <w:t xml:space="preserve">Based on the results of the sharing and compatibility studies and contributed materials, candidate frequency bands </w:t>
      </w:r>
      <w:r>
        <w:rPr>
          <w:lang w:val="en-US"/>
        </w:rPr>
        <w:t>may</w:t>
      </w:r>
      <w:r>
        <w:t xml:space="preserve"> be identified for additional FSS allocations in the 10-17 GHz range in Region 1, and in 13-17 GHz range in Region 2 and Region 3 in accordance with WRC 15.1 Agenda item 1.6.</w:t>
      </w:r>
    </w:p>
    <w:p w:rsidR="00803498" w:rsidRDefault="00803498" w:rsidP="00803498">
      <w:pPr>
        <w:pStyle w:val="Heading1"/>
        <w:ind w:left="357" w:hanging="357"/>
      </w:pPr>
      <w:r w:rsidRPr="002F7B8D">
        <w:t>Relevan</w:t>
      </w:r>
      <w:r>
        <w:t>t information from outside CEPT</w:t>
      </w:r>
    </w:p>
    <w:p w:rsidR="00803498" w:rsidRDefault="00803498" w:rsidP="00803498">
      <w:pPr>
        <w:pStyle w:val="ECCParagraph"/>
      </w:pPr>
      <w:r>
        <w:t>TBD</w:t>
      </w:r>
    </w:p>
    <w:p w:rsidR="008A54FC" w:rsidRPr="00803498" w:rsidRDefault="008A54FC" w:rsidP="008A54FC">
      <w:pPr>
        <w:pStyle w:val="ECCParagraph"/>
        <w:rPr>
          <w:lang w:val="ru-RU"/>
        </w:rPr>
      </w:pPr>
    </w:p>
    <w:sectPr w:rsidR="008A54FC" w:rsidRPr="00803498" w:rsidSect="00DC58F0">
      <w:headerReference w:type="even" r:id="rId11"/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33A" w:rsidRDefault="00A9233A" w:rsidP="008A54FC">
      <w:r>
        <w:separator/>
      </w:r>
    </w:p>
  </w:endnote>
  <w:endnote w:type="continuationSeparator" w:id="0">
    <w:p w:rsidR="00A9233A" w:rsidRDefault="00A9233A" w:rsidP="008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Courier New"/>
    <w:panose1 w:val="020B0704020202020204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33A" w:rsidRDefault="00A9233A" w:rsidP="008A54FC">
      <w:r>
        <w:separator/>
      </w:r>
    </w:p>
  </w:footnote>
  <w:footnote w:type="continuationSeparator" w:id="0">
    <w:p w:rsidR="00A9233A" w:rsidRDefault="00A9233A" w:rsidP="008A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59" w:rsidRPr="005F4F01" w:rsidRDefault="000B4959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E9603E">
      <w:rPr>
        <w:lang w:val="en-GB"/>
      </w:rPr>
      <w:t>7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6A24A5" w:rsidRPr="006A24A5">
      <w:rPr>
        <w:noProof/>
        <w:szCs w:val="16"/>
        <w:lang w:val="en-GB"/>
      </w:rPr>
      <w:t>2</w:t>
    </w:r>
    <w:r w:rsidR="00C67CDB">
      <w:rPr>
        <w:noProof/>
        <w:szCs w:val="16"/>
        <w:lang w:val="da-DK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F0" w:rsidRPr="005F4F01" w:rsidRDefault="00DC58F0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803498" w:rsidRPr="00803498">
      <w:t>1.6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AC299A" w:rsidRPr="00AC299A">
      <w:rPr>
        <w:noProof/>
        <w:szCs w:val="16"/>
        <w:lang w:val="en-GB"/>
      </w:rPr>
      <w:t>4</w:t>
    </w:r>
    <w:r w:rsidR="00C67CDB">
      <w:rPr>
        <w:noProof/>
        <w:szCs w:val="16"/>
        <w:lang w:val="da-DK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169232E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B57373D"/>
    <w:multiLevelType w:val="multilevel"/>
    <w:tmpl w:val="2034D8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029C60C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27E184A"/>
    <w:multiLevelType w:val="hybridMultilevel"/>
    <w:tmpl w:val="F51A9A3A"/>
    <w:lvl w:ilvl="0" w:tplc="C65085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6242A"/>
    <w:multiLevelType w:val="hybridMultilevel"/>
    <w:tmpl w:val="9146C086"/>
    <w:lvl w:ilvl="0" w:tplc="5D1C976A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62D09"/>
    <w:multiLevelType w:val="multilevel"/>
    <w:tmpl w:val="91FCFD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8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4E264B24"/>
    <w:multiLevelType w:val="multilevel"/>
    <w:tmpl w:val="8DB4B36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72326EE"/>
    <w:multiLevelType w:val="multilevel"/>
    <w:tmpl w:val="2034D866"/>
    <w:styleLink w:val="ECCNumbers-Bullets"/>
    <w:lvl w:ilvl="0">
      <w:start w:val="1"/>
      <w:numFmt w:val="decimal"/>
      <w:pStyle w:val="ECCNumberedBullets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5C9214DC"/>
    <w:multiLevelType w:val="multilevel"/>
    <w:tmpl w:val="0AD4A2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>
    <w:nsid w:val="5D1D6380"/>
    <w:multiLevelType w:val="multilevel"/>
    <w:tmpl w:val="8DB4B3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66E36C84"/>
    <w:multiLevelType w:val="multilevel"/>
    <w:tmpl w:val="FCEC7FBC"/>
    <w:numStyleLink w:val="ECCBullets"/>
  </w:abstractNum>
  <w:abstractNum w:abstractNumId="14">
    <w:nsid w:val="71EC350B"/>
    <w:multiLevelType w:val="multilevel"/>
    <w:tmpl w:val="CB1A2F2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3"/>
    <w:rsid w:val="00005CA4"/>
    <w:rsid w:val="000272B2"/>
    <w:rsid w:val="00052664"/>
    <w:rsid w:val="00067793"/>
    <w:rsid w:val="00082DD7"/>
    <w:rsid w:val="000B4959"/>
    <w:rsid w:val="000C028F"/>
    <w:rsid w:val="000E19B2"/>
    <w:rsid w:val="000E42F5"/>
    <w:rsid w:val="000F5805"/>
    <w:rsid w:val="001554BD"/>
    <w:rsid w:val="00165220"/>
    <w:rsid w:val="0017055A"/>
    <w:rsid w:val="00183FE0"/>
    <w:rsid w:val="001A123D"/>
    <w:rsid w:val="001E440D"/>
    <w:rsid w:val="00274F84"/>
    <w:rsid w:val="00285E70"/>
    <w:rsid w:val="002930E9"/>
    <w:rsid w:val="0029448B"/>
    <w:rsid w:val="002B4833"/>
    <w:rsid w:val="002C24D8"/>
    <w:rsid w:val="002F5286"/>
    <w:rsid w:val="003147D9"/>
    <w:rsid w:val="00372013"/>
    <w:rsid w:val="003860FD"/>
    <w:rsid w:val="003872D7"/>
    <w:rsid w:val="003F0C5D"/>
    <w:rsid w:val="004110CA"/>
    <w:rsid w:val="004E50F1"/>
    <w:rsid w:val="00550D79"/>
    <w:rsid w:val="00557B5A"/>
    <w:rsid w:val="005617BF"/>
    <w:rsid w:val="005640E3"/>
    <w:rsid w:val="00594186"/>
    <w:rsid w:val="005B3CCE"/>
    <w:rsid w:val="005C10EB"/>
    <w:rsid w:val="005E4586"/>
    <w:rsid w:val="005E6B94"/>
    <w:rsid w:val="005F4F01"/>
    <w:rsid w:val="00604114"/>
    <w:rsid w:val="006254E8"/>
    <w:rsid w:val="006A24A5"/>
    <w:rsid w:val="006A2A56"/>
    <w:rsid w:val="006F0D75"/>
    <w:rsid w:val="006F54B3"/>
    <w:rsid w:val="00714324"/>
    <w:rsid w:val="00734A4F"/>
    <w:rsid w:val="00763BA3"/>
    <w:rsid w:val="00767BB2"/>
    <w:rsid w:val="00780376"/>
    <w:rsid w:val="00783854"/>
    <w:rsid w:val="00797D4C"/>
    <w:rsid w:val="007A7398"/>
    <w:rsid w:val="008018E9"/>
    <w:rsid w:val="00803498"/>
    <w:rsid w:val="00840CD8"/>
    <w:rsid w:val="008624C5"/>
    <w:rsid w:val="008A54FC"/>
    <w:rsid w:val="008B70CD"/>
    <w:rsid w:val="008D7A4F"/>
    <w:rsid w:val="008F6CDE"/>
    <w:rsid w:val="00916186"/>
    <w:rsid w:val="00925A32"/>
    <w:rsid w:val="00941FD2"/>
    <w:rsid w:val="009744B4"/>
    <w:rsid w:val="009755AC"/>
    <w:rsid w:val="00983AA0"/>
    <w:rsid w:val="00987249"/>
    <w:rsid w:val="009E47EB"/>
    <w:rsid w:val="009F7943"/>
    <w:rsid w:val="00A076B5"/>
    <w:rsid w:val="00A10852"/>
    <w:rsid w:val="00A66106"/>
    <w:rsid w:val="00A71344"/>
    <w:rsid w:val="00A74DD8"/>
    <w:rsid w:val="00A83440"/>
    <w:rsid w:val="00A9233A"/>
    <w:rsid w:val="00A95ACB"/>
    <w:rsid w:val="00AA086A"/>
    <w:rsid w:val="00AB00A4"/>
    <w:rsid w:val="00AC299A"/>
    <w:rsid w:val="00AD3C20"/>
    <w:rsid w:val="00B25463"/>
    <w:rsid w:val="00B30D3B"/>
    <w:rsid w:val="00B432D4"/>
    <w:rsid w:val="00B555F3"/>
    <w:rsid w:val="00B93E30"/>
    <w:rsid w:val="00C075BF"/>
    <w:rsid w:val="00C67CDB"/>
    <w:rsid w:val="00D1389E"/>
    <w:rsid w:val="00D87509"/>
    <w:rsid w:val="00DC58F0"/>
    <w:rsid w:val="00DD057B"/>
    <w:rsid w:val="00DF2C67"/>
    <w:rsid w:val="00E14B87"/>
    <w:rsid w:val="00E35508"/>
    <w:rsid w:val="00E67E22"/>
    <w:rsid w:val="00E71AE7"/>
    <w:rsid w:val="00E81E31"/>
    <w:rsid w:val="00E9603E"/>
    <w:rsid w:val="00EA6088"/>
    <w:rsid w:val="00EB2A02"/>
    <w:rsid w:val="00F56476"/>
    <w:rsid w:val="00F735BC"/>
    <w:rsid w:val="00F93115"/>
    <w:rsid w:val="00F967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EPT%20Files\2012-2015\CPG%20PTB\1%20Meeting%20London%20September%202012\Template-CEPT%20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160CBC-E393-4438-8F39-F3AC30013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Template-CEPT brief.dotx</Template>
  <TotalTime>3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ECC Report Style</vt:lpstr>
      <vt:lpstr>New ECC Report Style</vt:lpstr>
    </vt:vector>
  </TitlesOfParts>
  <Company>ECO</Company>
  <LinksUpToDate>false</LinksUpToDate>
  <CharactersWithSpaces>7976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shienok</dc:creator>
  <dc:description>This template is used as guidance to draft ECC Reports.</dc:description>
  <cp:lastModifiedBy>wesley.milton</cp:lastModifiedBy>
  <cp:revision>4</cp:revision>
  <cp:lastPrinted>1901-01-01T00:00:00Z</cp:lastPrinted>
  <dcterms:created xsi:type="dcterms:W3CDTF">2013-01-14T07:19:00Z</dcterms:created>
  <dcterms:modified xsi:type="dcterms:W3CDTF">2013-01-14T12:22:00Z</dcterms:modified>
</cp:coreProperties>
</file>